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7BC608A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94bis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A81446">
        <w:rPr>
          <w:sz w:val="32"/>
          <w:szCs w:val="32"/>
        </w:rPr>
        <w:t>11384</w:t>
      </w:r>
    </w:p>
    <w:p w14:paraId="624F3E54" w14:textId="33ACDD01" w:rsidR="00E90E49" w:rsidRPr="004A2D98" w:rsidRDefault="004A2D98" w:rsidP="00357380">
      <w:pPr>
        <w:pStyle w:val="3GPPHeader"/>
        <w:rPr>
          <w:bCs/>
        </w:rPr>
      </w:pPr>
      <w:r w:rsidRPr="004A2D98">
        <w:rPr>
          <w:bCs/>
        </w:rPr>
        <w:t>Chengdu, China, October 8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 – 12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, 2018 </w:t>
      </w:r>
    </w:p>
    <w:p w14:paraId="1516F60F" w14:textId="68958EC1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A81446" w:rsidRPr="00A81446">
        <w:rPr>
          <w:sz w:val="22"/>
          <w:szCs w:val="22"/>
          <w:lang w:val="sv-FI"/>
        </w:rPr>
        <w:t>7.2.11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48881C3" w14:textId="71D8D66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E160E" w:rsidRPr="00A81446">
        <w:rPr>
          <w:sz w:val="22"/>
          <w:szCs w:val="22"/>
        </w:rPr>
        <w:t>Scenarios and simulation assumptions for NTN</w:t>
      </w:r>
    </w:p>
    <w:p w14:paraId="73E6E29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1583">
        <w:rPr>
          <w:sz w:val="22"/>
          <w:szCs w:val="22"/>
        </w:rPr>
        <w:t xml:space="preserve">Discussion, </w:t>
      </w:r>
      <w:bookmarkStart w:id="0" w:name="_GoBack"/>
      <w:bookmarkEnd w:id="0"/>
      <w:r w:rsidRPr="00831583">
        <w:rPr>
          <w:sz w:val="22"/>
          <w:szCs w:val="22"/>
        </w:rPr>
        <w:t>Decision</w:t>
      </w:r>
    </w:p>
    <w:p w14:paraId="7B8EAE83" w14:textId="77777777" w:rsidR="00E90E49" w:rsidRPr="00CE0424" w:rsidRDefault="00E90E49" w:rsidP="00E90E49"/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1E75A41" w14:textId="77777777" w:rsidR="00C14985" w:rsidRDefault="00C14985" w:rsidP="00C1498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RAN#80 approved a new SI on </w:t>
      </w:r>
      <w:r w:rsidRPr="00A2268A">
        <w:rPr>
          <w:rFonts w:ascii="Arial" w:hAnsi="Arial" w:cs="Arial"/>
        </w:rPr>
        <w:t>solutions evaluation for NR to support Non-Terrestrial Network</w:t>
      </w:r>
      <w:r>
        <w:rPr>
          <w:rFonts w:ascii="Arial" w:hAnsi="Arial" w:cs="Arial"/>
        </w:rPr>
        <w:t xml:space="preserve"> [1]</w:t>
      </w:r>
      <w:r w:rsidRPr="002B626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 SI has the following objectives. The RAN1 work is scheduled to begin at RAN1#96bis in April 2019.</w:t>
      </w:r>
    </w:p>
    <w:p w14:paraId="137E47BB" w14:textId="77777777" w:rsidR="00C14985" w:rsidRDefault="00C14985" w:rsidP="00C14985">
      <w:pPr>
        <w:spacing w:after="0"/>
        <w:jc w:val="both"/>
        <w:rPr>
          <w:rFonts w:ascii="Arial" w:hAnsi="Arial" w:cs="Arial"/>
        </w:rPr>
      </w:pPr>
    </w:p>
    <w:p w14:paraId="6E929BC9" w14:textId="77777777" w:rsidR="00C14985" w:rsidRDefault="00C14985" w:rsidP="00C14985">
      <w:pPr>
        <w:spacing w:after="0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0A0E58A9" wp14:editId="636BF654">
                <wp:extent cx="6120765" cy="2352675"/>
                <wp:effectExtent l="0" t="0" r="13335" b="285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28786C" w14:textId="77777777" w:rsidR="00C14985" w:rsidRPr="00A2268A" w:rsidRDefault="00C14985" w:rsidP="00C14985">
                            <w:pPr>
                              <w:rPr>
                                <w:rFonts w:ascii="Arial" w:hAnsi="Arial" w:cs="Arial"/>
                                <w:i/>
                                <w:lang w:val="en-US" w:eastAsia="x-none"/>
                              </w:rPr>
                            </w:pPr>
                            <w:r w:rsidRPr="00A2268A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Physical layer</w:t>
                            </w:r>
                          </w:p>
                          <w:p w14:paraId="52A0A33F" w14:textId="77777777" w:rsidR="00C14985" w:rsidRPr="00A2268A" w:rsidRDefault="00C14985" w:rsidP="00C14985">
                            <w:pPr>
                              <w:rPr>
                                <w:rFonts w:ascii="Arial" w:hAnsi="Arial" w:cs="Arial"/>
                                <w:i/>
                                <w:lang w:val="en-US" w:eastAsia="x-none"/>
                              </w:rPr>
                            </w:pPr>
                            <w:r w:rsidRPr="00A2268A">
                              <w:rPr>
                                <w:rFonts w:ascii="Arial" w:hAnsi="Arial" w:cs="Arial"/>
                                <w:i/>
                                <w:lang w:val="nl-NL" w:eastAsia="x-none"/>
                              </w:rPr>
                              <w:t xml:space="preserve">Consolidation of potential impacts as initially identified in TR 38.811 and identification of related solutions if needed  [RAN1]: </w:t>
                            </w:r>
                          </w:p>
                          <w:p w14:paraId="77A383D2" w14:textId="77777777" w:rsidR="00C14985" w:rsidRPr="00A2268A" w:rsidRDefault="00C14985" w:rsidP="00C14985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ascii="Arial" w:hAnsi="Arial" w:cs="Arial"/>
                                <w:i/>
                                <w:lang w:val="en-US" w:eastAsia="x-none"/>
                              </w:rPr>
                            </w:pPr>
                            <w:r w:rsidRPr="00A2268A">
                              <w:rPr>
                                <w:rFonts w:ascii="Arial" w:hAnsi="Arial" w:cs="Arial"/>
                                <w:i/>
                                <w:lang w:eastAsia="x-none"/>
                              </w:rPr>
                              <w:t>Physical layer control procedures (e.g. CSI feedback, power control)</w:t>
                            </w:r>
                          </w:p>
                          <w:p w14:paraId="57050A9F" w14:textId="77777777" w:rsidR="00C14985" w:rsidRPr="00A2268A" w:rsidRDefault="00C14985" w:rsidP="00C14985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ascii="Arial" w:hAnsi="Arial" w:cs="Arial"/>
                                <w:i/>
                                <w:lang w:val="en-US" w:eastAsia="x-none"/>
                              </w:rPr>
                            </w:pPr>
                            <w:r w:rsidRPr="00A2268A">
                              <w:rPr>
                                <w:rFonts w:ascii="Arial" w:hAnsi="Arial" w:cs="Arial"/>
                                <w:i/>
                                <w:lang w:eastAsia="x-none"/>
                              </w:rPr>
                              <w:t>Uplink Timing advance/RACH procedure including PRACH sequence/format/message</w:t>
                            </w:r>
                          </w:p>
                          <w:p w14:paraId="77754F00" w14:textId="77777777" w:rsidR="00C14985" w:rsidRPr="00A2268A" w:rsidRDefault="00C14985" w:rsidP="00C14985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ascii="Arial" w:hAnsi="Arial" w:cs="Arial"/>
                                <w:i/>
                                <w:lang w:val="en-US" w:eastAsia="x-none"/>
                              </w:rPr>
                            </w:pPr>
                            <w:r w:rsidRPr="00A2268A">
                              <w:rPr>
                                <w:rFonts w:ascii="Arial" w:hAnsi="Arial" w:cs="Arial"/>
                                <w:i/>
                                <w:lang w:eastAsia="x-none"/>
                              </w:rPr>
                              <w:t>Making retransmission mechanisms at the physical layer more delay-tolerant as appropriate. This may also include capability to deactivate the HARQ mechanisms.</w:t>
                            </w:r>
                          </w:p>
                          <w:p w14:paraId="6A6499A6" w14:textId="77777777" w:rsidR="00C14985" w:rsidRPr="00A2268A" w:rsidRDefault="00C14985" w:rsidP="00C14985">
                            <w:pPr>
                              <w:rPr>
                                <w:rFonts w:ascii="Arial" w:hAnsi="Arial" w:cs="Arial"/>
                                <w:i/>
                                <w:lang w:val="en-US" w:eastAsia="x-none"/>
                              </w:rPr>
                            </w:pPr>
                            <w:r w:rsidRPr="00A2268A">
                              <w:rPr>
                                <w:rFonts w:ascii="Arial" w:hAnsi="Arial" w:cs="Arial"/>
                                <w:i/>
                                <w:lang w:eastAsia="x-none"/>
                              </w:rPr>
                              <w:t>Performance assessment of NR in selected deployment scenarios (LEO based satellite access, GEO based satellite access) through link level (Radio link) and system level (cell) simulations [RAN1]</w:t>
                            </w:r>
                          </w:p>
                          <w:p w14:paraId="30676FD0" w14:textId="77777777" w:rsidR="00C14985" w:rsidRPr="0037674A" w:rsidRDefault="00C14985" w:rsidP="00C1498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0E58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8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" fillcolor="white [3201]" strokeweight=".5pt">
                <v:textbox>
                  <w:txbxContent>
                    <w:p w14:paraId="5328786C" w14:textId="77777777" w:rsidR="00C14985" w:rsidRPr="00A2268A" w:rsidRDefault="00C14985" w:rsidP="00C14985">
                      <w:pPr>
                        <w:rPr>
                          <w:rFonts w:ascii="Arial" w:hAnsi="Arial" w:cs="Arial"/>
                          <w:i/>
                          <w:lang w:val="en-US" w:eastAsia="x-none"/>
                        </w:rPr>
                      </w:pPr>
                      <w:r w:rsidRPr="00A2268A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lang w:eastAsia="x-none"/>
                        </w:rPr>
                        <w:t>Physical layer</w:t>
                      </w:r>
                    </w:p>
                    <w:p w14:paraId="52A0A33F" w14:textId="77777777" w:rsidR="00C14985" w:rsidRPr="00A2268A" w:rsidRDefault="00C14985" w:rsidP="00C14985">
                      <w:pPr>
                        <w:rPr>
                          <w:rFonts w:ascii="Arial" w:hAnsi="Arial" w:cs="Arial"/>
                          <w:i/>
                          <w:lang w:val="en-US" w:eastAsia="x-none"/>
                        </w:rPr>
                      </w:pPr>
                      <w:r w:rsidRPr="00A2268A">
                        <w:rPr>
                          <w:rFonts w:ascii="Arial" w:hAnsi="Arial" w:cs="Arial"/>
                          <w:i/>
                          <w:lang w:val="nl-NL" w:eastAsia="x-none"/>
                        </w:rPr>
                        <w:t xml:space="preserve">Consolidation of potential impacts as initially identified in TR 38.811 and identification of related solutions if needed  [RAN1]: </w:t>
                      </w:r>
                    </w:p>
                    <w:p w14:paraId="77A383D2" w14:textId="77777777" w:rsidR="00C14985" w:rsidRPr="00A2268A" w:rsidRDefault="00C14985" w:rsidP="00C14985">
                      <w:pPr>
                        <w:numPr>
                          <w:ilvl w:val="2"/>
                          <w:numId w:val="23"/>
                        </w:numPr>
                        <w:rPr>
                          <w:rFonts w:ascii="Arial" w:hAnsi="Arial" w:cs="Arial"/>
                          <w:i/>
                          <w:lang w:val="en-US" w:eastAsia="x-none"/>
                        </w:rPr>
                      </w:pPr>
                      <w:r w:rsidRPr="00A2268A">
                        <w:rPr>
                          <w:rFonts w:ascii="Arial" w:hAnsi="Arial" w:cs="Arial"/>
                          <w:i/>
                          <w:lang w:eastAsia="x-none"/>
                        </w:rPr>
                        <w:t>Physical layer control procedures (e.g. CSI feedback, power control)</w:t>
                      </w:r>
                    </w:p>
                    <w:p w14:paraId="57050A9F" w14:textId="77777777" w:rsidR="00C14985" w:rsidRPr="00A2268A" w:rsidRDefault="00C14985" w:rsidP="00C14985">
                      <w:pPr>
                        <w:numPr>
                          <w:ilvl w:val="2"/>
                          <w:numId w:val="23"/>
                        </w:numPr>
                        <w:rPr>
                          <w:rFonts w:ascii="Arial" w:hAnsi="Arial" w:cs="Arial"/>
                          <w:i/>
                          <w:lang w:val="en-US" w:eastAsia="x-none"/>
                        </w:rPr>
                      </w:pPr>
                      <w:r w:rsidRPr="00A2268A">
                        <w:rPr>
                          <w:rFonts w:ascii="Arial" w:hAnsi="Arial" w:cs="Arial"/>
                          <w:i/>
                          <w:lang w:eastAsia="x-none"/>
                        </w:rPr>
                        <w:t>Uplink Timing advance/RACH procedure including PRACH sequence/format/message</w:t>
                      </w:r>
                    </w:p>
                    <w:p w14:paraId="77754F00" w14:textId="77777777" w:rsidR="00C14985" w:rsidRPr="00A2268A" w:rsidRDefault="00C14985" w:rsidP="00C14985">
                      <w:pPr>
                        <w:numPr>
                          <w:ilvl w:val="2"/>
                          <w:numId w:val="23"/>
                        </w:numPr>
                        <w:rPr>
                          <w:rFonts w:ascii="Arial" w:hAnsi="Arial" w:cs="Arial"/>
                          <w:i/>
                          <w:lang w:val="en-US" w:eastAsia="x-none"/>
                        </w:rPr>
                      </w:pPr>
                      <w:r w:rsidRPr="00A2268A">
                        <w:rPr>
                          <w:rFonts w:ascii="Arial" w:hAnsi="Arial" w:cs="Arial"/>
                          <w:i/>
                          <w:lang w:eastAsia="x-none"/>
                        </w:rPr>
                        <w:t>Making retransmission mechanisms at the physical layer more delay-tolerant as appropriate. This may also include capability to deactivate the HARQ mechanisms.</w:t>
                      </w:r>
                    </w:p>
                    <w:p w14:paraId="6A6499A6" w14:textId="77777777" w:rsidR="00C14985" w:rsidRPr="00A2268A" w:rsidRDefault="00C14985" w:rsidP="00C14985">
                      <w:pPr>
                        <w:rPr>
                          <w:rFonts w:ascii="Arial" w:hAnsi="Arial" w:cs="Arial"/>
                          <w:i/>
                          <w:lang w:val="en-US" w:eastAsia="x-none"/>
                        </w:rPr>
                      </w:pPr>
                      <w:r w:rsidRPr="00A2268A">
                        <w:rPr>
                          <w:rFonts w:ascii="Arial" w:hAnsi="Arial" w:cs="Arial"/>
                          <w:i/>
                          <w:lang w:eastAsia="x-none"/>
                        </w:rPr>
                        <w:t>Performance assessment of NR in selected deployment scenarios (LEO based satellite access, GEO based satellite access) through link level (Radio link) and system level (cell) simulations [RAN1]</w:t>
                      </w:r>
                    </w:p>
                    <w:p w14:paraId="30676FD0" w14:textId="77777777" w:rsidR="00C14985" w:rsidRPr="0037674A" w:rsidRDefault="00C14985" w:rsidP="00C1498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6F5978" w14:textId="77777777" w:rsidR="00C14985" w:rsidRDefault="00C14985" w:rsidP="00C14985">
      <w:pPr>
        <w:spacing w:after="0"/>
        <w:jc w:val="both"/>
        <w:rPr>
          <w:rFonts w:ascii="Arial" w:hAnsi="Arial" w:cs="Arial"/>
        </w:rPr>
      </w:pPr>
    </w:p>
    <w:p w14:paraId="7831E675" w14:textId="522D4F98" w:rsidR="00477768" w:rsidRPr="00C14985" w:rsidRDefault="004162EE" w:rsidP="00C1498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As stated in the objectives of this study-item, one objective is to study performance assessment of NR</w:t>
      </w:r>
      <w:r w:rsidR="00A81446">
        <w:rPr>
          <w:rFonts w:ascii="Arial" w:hAnsi="Arial" w:cs="Arial"/>
        </w:rPr>
        <w:t xml:space="preserve"> for NTN</w:t>
      </w:r>
      <w:r>
        <w:rPr>
          <w:rFonts w:ascii="Arial" w:hAnsi="Arial" w:cs="Arial"/>
        </w:rPr>
        <w:t xml:space="preserve">. </w:t>
      </w:r>
      <w:r w:rsidR="00C14985" w:rsidRPr="002B626A">
        <w:rPr>
          <w:rFonts w:ascii="Arial" w:hAnsi="Arial" w:cs="Arial"/>
        </w:rPr>
        <w:t xml:space="preserve">In this contribution, we </w:t>
      </w:r>
      <w:r w:rsidR="00C14985">
        <w:rPr>
          <w:rFonts w:ascii="Arial" w:hAnsi="Arial" w:cs="Arial"/>
        </w:rPr>
        <w:t xml:space="preserve">provide an overview and discussion on </w:t>
      </w:r>
      <w:r w:rsidR="009B07D1">
        <w:rPr>
          <w:rFonts w:ascii="Arial" w:hAnsi="Arial" w:cs="Arial"/>
        </w:rPr>
        <w:t>link</w:t>
      </w:r>
      <w:r w:rsidR="00C14985">
        <w:rPr>
          <w:rFonts w:ascii="Arial" w:hAnsi="Arial" w:cs="Arial"/>
        </w:rPr>
        <w:t xml:space="preserve"> and system-level assumptions related to the TR 38.811[2].</w:t>
      </w:r>
    </w:p>
    <w:p w14:paraId="2D630DF1" w14:textId="0F97B84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742DE2C" w14:textId="3467265A" w:rsidR="00B80902" w:rsidRDefault="004162EE" w:rsidP="00BB1E9D">
      <w:pPr>
        <w:jc w:val="both"/>
        <w:rPr>
          <w:rFonts w:ascii="Arial" w:hAnsi="Arial" w:cs="Arial"/>
        </w:rPr>
      </w:pPr>
      <w:r w:rsidRPr="004162EE">
        <w:rPr>
          <w:rFonts w:ascii="Arial" w:hAnsi="Arial" w:cs="Arial"/>
        </w:rPr>
        <w:t xml:space="preserve">Scenarios for </w:t>
      </w:r>
      <w:r w:rsidR="00CA1468">
        <w:rPr>
          <w:rFonts w:ascii="Arial" w:hAnsi="Arial" w:cs="Arial"/>
        </w:rPr>
        <w:t xml:space="preserve">NTN </w:t>
      </w:r>
      <w:r w:rsidRPr="004162EE">
        <w:rPr>
          <w:rFonts w:ascii="Arial" w:hAnsi="Arial" w:cs="Arial"/>
        </w:rPr>
        <w:t>have been discussed in the TR 38.8</w:t>
      </w:r>
      <w:r w:rsidR="00CA1468">
        <w:rPr>
          <w:rFonts w:ascii="Arial" w:hAnsi="Arial" w:cs="Arial"/>
        </w:rPr>
        <w:t>1</w:t>
      </w:r>
      <w:r w:rsidRPr="004162EE">
        <w:rPr>
          <w:rFonts w:ascii="Arial" w:hAnsi="Arial" w:cs="Arial"/>
        </w:rPr>
        <w:t>1</w:t>
      </w:r>
      <w:r w:rsidR="00CA1468">
        <w:rPr>
          <w:rFonts w:ascii="Arial" w:hAnsi="Arial" w:cs="Arial"/>
        </w:rPr>
        <w:t xml:space="preserve"> [1] and TR 38.821 [2]</w:t>
      </w:r>
      <w:r w:rsidR="00B80902">
        <w:rPr>
          <w:rFonts w:ascii="Arial" w:hAnsi="Arial" w:cs="Arial"/>
        </w:rPr>
        <w:t>.</w:t>
      </w:r>
      <w:r w:rsidR="00CA1468">
        <w:rPr>
          <w:rFonts w:ascii="Arial" w:hAnsi="Arial" w:cs="Arial"/>
        </w:rPr>
        <w:t xml:space="preserve"> In </w:t>
      </w:r>
      <w:r w:rsidR="0012104B">
        <w:rPr>
          <w:rFonts w:ascii="Arial" w:hAnsi="Arial" w:cs="Arial"/>
        </w:rPr>
        <w:t>T</w:t>
      </w:r>
      <w:r w:rsidR="00CA1468">
        <w:rPr>
          <w:rFonts w:ascii="Arial" w:hAnsi="Arial" w:cs="Arial"/>
        </w:rPr>
        <w:t>able 1 and 2</w:t>
      </w:r>
      <w:r w:rsidR="0012104B">
        <w:rPr>
          <w:rFonts w:ascii="Arial" w:hAnsi="Arial" w:cs="Arial"/>
        </w:rPr>
        <w:t>,</w:t>
      </w:r>
      <w:r w:rsidR="00CA1468">
        <w:rPr>
          <w:rFonts w:ascii="Arial" w:hAnsi="Arial" w:cs="Arial"/>
        </w:rPr>
        <w:t xml:space="preserve"> the scenarios from the current TR are shown. There are currently 4 scenarios, </w:t>
      </w:r>
      <w:r w:rsidR="0012104B">
        <w:rPr>
          <w:rFonts w:ascii="Arial" w:hAnsi="Arial" w:cs="Arial"/>
        </w:rPr>
        <w:t>with</w:t>
      </w:r>
      <w:r w:rsidR="00CA1468">
        <w:rPr>
          <w:rFonts w:ascii="Arial" w:hAnsi="Arial" w:cs="Arial"/>
        </w:rPr>
        <w:t xml:space="preserve"> each scenario </w:t>
      </w:r>
      <w:r w:rsidR="0012104B">
        <w:rPr>
          <w:rFonts w:ascii="Arial" w:hAnsi="Arial" w:cs="Arial"/>
        </w:rPr>
        <w:t xml:space="preserve">further </w:t>
      </w:r>
      <w:r w:rsidR="00CA1468">
        <w:rPr>
          <w:rFonts w:ascii="Arial" w:hAnsi="Arial" w:cs="Arial"/>
        </w:rPr>
        <w:t>hav</w:t>
      </w:r>
      <w:r w:rsidR="0012104B">
        <w:rPr>
          <w:rFonts w:ascii="Arial" w:hAnsi="Arial" w:cs="Arial"/>
        </w:rPr>
        <w:t>ing</w:t>
      </w:r>
      <w:r w:rsidR="00CA1468">
        <w:rPr>
          <w:rFonts w:ascii="Arial" w:hAnsi="Arial" w:cs="Arial"/>
        </w:rPr>
        <w:t xml:space="preserve"> their own options</w:t>
      </w:r>
      <w:r w:rsidR="0012104B">
        <w:rPr>
          <w:rFonts w:ascii="Arial" w:hAnsi="Arial" w:cs="Arial"/>
        </w:rPr>
        <w:t>. This</w:t>
      </w:r>
      <w:r w:rsidR="00CA1468">
        <w:rPr>
          <w:rFonts w:ascii="Arial" w:hAnsi="Arial" w:cs="Arial"/>
        </w:rPr>
        <w:t xml:space="preserve"> m</w:t>
      </w:r>
      <w:r w:rsidR="00550F7B">
        <w:rPr>
          <w:rFonts w:ascii="Arial" w:hAnsi="Arial" w:cs="Arial"/>
        </w:rPr>
        <w:t>ay translate to a large</w:t>
      </w:r>
      <w:r w:rsidR="00CA1468">
        <w:rPr>
          <w:rFonts w:ascii="Arial" w:hAnsi="Arial" w:cs="Arial"/>
        </w:rPr>
        <w:t xml:space="preserve"> </w:t>
      </w:r>
      <w:r w:rsidR="0012104B">
        <w:rPr>
          <w:rFonts w:ascii="Arial" w:hAnsi="Arial" w:cs="Arial"/>
        </w:rPr>
        <w:t>number</w:t>
      </w:r>
      <w:r w:rsidR="00CA1468">
        <w:rPr>
          <w:rFonts w:ascii="Arial" w:hAnsi="Arial" w:cs="Arial"/>
        </w:rPr>
        <w:t xml:space="preserve"> of </w:t>
      </w:r>
      <w:r w:rsidR="00550F7B">
        <w:rPr>
          <w:rFonts w:ascii="Arial" w:hAnsi="Arial" w:cs="Arial"/>
        </w:rPr>
        <w:t xml:space="preserve">potential simulations </w:t>
      </w:r>
      <w:r w:rsidR="00CA1468">
        <w:rPr>
          <w:rFonts w:ascii="Arial" w:hAnsi="Arial" w:cs="Arial"/>
        </w:rPr>
        <w:t xml:space="preserve">scenarios when </w:t>
      </w:r>
      <w:r w:rsidR="00550F7B">
        <w:rPr>
          <w:rFonts w:ascii="Arial" w:hAnsi="Arial" w:cs="Arial"/>
        </w:rPr>
        <w:t>considering</w:t>
      </w:r>
      <w:r w:rsidR="00CA1468">
        <w:rPr>
          <w:rFonts w:ascii="Arial" w:hAnsi="Arial" w:cs="Arial"/>
        </w:rPr>
        <w:t xml:space="preserve"> system-level simulations related to mobility</w:t>
      </w:r>
      <w:r w:rsidR="00550F7B">
        <w:rPr>
          <w:rFonts w:ascii="Arial" w:hAnsi="Arial" w:cs="Arial"/>
        </w:rPr>
        <w:t xml:space="preserve"> as well as</w:t>
      </w:r>
      <w:r w:rsidR="00155710">
        <w:rPr>
          <w:rFonts w:ascii="Arial" w:hAnsi="Arial" w:cs="Arial"/>
        </w:rPr>
        <w:t xml:space="preserve"> </w:t>
      </w:r>
      <w:r w:rsidR="00550F7B">
        <w:rPr>
          <w:rFonts w:ascii="Arial" w:hAnsi="Arial" w:cs="Arial"/>
        </w:rPr>
        <w:t>the</w:t>
      </w:r>
      <w:r w:rsidR="00155710">
        <w:rPr>
          <w:rFonts w:ascii="Arial" w:hAnsi="Arial" w:cs="Arial"/>
        </w:rPr>
        <w:t xml:space="preserve"> </w:t>
      </w:r>
      <w:r w:rsidR="00550F7B">
        <w:rPr>
          <w:rFonts w:ascii="Arial" w:hAnsi="Arial" w:cs="Arial"/>
        </w:rPr>
        <w:t>various possible</w:t>
      </w:r>
      <w:r w:rsidR="00155710">
        <w:rPr>
          <w:rFonts w:ascii="Arial" w:hAnsi="Arial" w:cs="Arial"/>
        </w:rPr>
        <w:t xml:space="preserve"> configurations.</w:t>
      </w:r>
    </w:p>
    <w:p w14:paraId="5CB443ED" w14:textId="5262D3A7" w:rsidR="00CA1468" w:rsidRDefault="00CA1468" w:rsidP="00CA1468">
      <w:pPr>
        <w:pStyle w:val="TH"/>
        <w:rPr>
          <w:lang w:eastAsia="en-US"/>
        </w:rPr>
      </w:pPr>
      <w:r>
        <w:t xml:space="preserve">Table </w:t>
      </w:r>
      <w:r>
        <w:rPr>
          <w:lang w:val="sv-SE"/>
        </w:rPr>
        <w:t>1</w:t>
      </w:r>
      <w:r>
        <w:t>: Reference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1847"/>
        <w:gridCol w:w="1948"/>
      </w:tblGrid>
      <w:tr w:rsidR="00CA1468" w14:paraId="2D7DBF7F" w14:textId="77777777" w:rsidTr="00CA14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CAD2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871A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Transparent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562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Regenerative satellite</w:t>
            </w:r>
          </w:p>
        </w:tc>
      </w:tr>
      <w:tr w:rsidR="00CA1468" w14:paraId="38AC52A4" w14:textId="77777777" w:rsidTr="00CA14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3E62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GEO based non-terrestrial access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07E0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E0C9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B</w:t>
            </w:r>
          </w:p>
        </w:tc>
      </w:tr>
      <w:tr w:rsidR="00CA1468" w14:paraId="40238AAE" w14:textId="77777777" w:rsidTr="00CA14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2C54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LEO based non-terrestrial access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68AE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D712" w14:textId="77777777" w:rsidR="00CA1468" w:rsidRDefault="00CA146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D</w:t>
            </w:r>
          </w:p>
        </w:tc>
      </w:tr>
    </w:tbl>
    <w:p w14:paraId="60365F87" w14:textId="2E3E20E1" w:rsidR="00B80902" w:rsidRDefault="00B80902" w:rsidP="00F92252">
      <w:pPr>
        <w:rPr>
          <w:rFonts w:ascii="Arial" w:hAnsi="Arial" w:cs="Arial"/>
        </w:rPr>
      </w:pPr>
    </w:p>
    <w:p w14:paraId="7CDBAF73" w14:textId="2D3BACF7" w:rsidR="00CA1468" w:rsidRPr="00CA1468" w:rsidRDefault="00CA1468" w:rsidP="00CA1468">
      <w:pPr>
        <w:pStyle w:val="TH"/>
        <w:rPr>
          <w:lang w:eastAsia="en-US"/>
        </w:rPr>
      </w:pPr>
      <w:r>
        <w:t xml:space="preserve">Table </w:t>
      </w:r>
      <w:r>
        <w:rPr>
          <w:lang w:val="sv-SE"/>
        </w:rPr>
        <w:t>2</w:t>
      </w:r>
      <w:r>
        <w:t>: Reference scenario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3915"/>
        <w:gridCol w:w="2806"/>
      </w:tblGrid>
      <w:tr w:rsidR="006E4BDA" w:rsidRPr="006E4BDA" w14:paraId="6B7FC43B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7587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AF36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GEO based non-terrestrial access network (Scenario A and 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523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LEO based non-terrestrial access network (Scenario C &amp; D)</w:t>
            </w:r>
          </w:p>
        </w:tc>
      </w:tr>
      <w:tr w:rsidR="006E4BDA" w:rsidRPr="006E4BDA" w14:paraId="2E2AAC52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077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Orbit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453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notional station keeping position fixed in terms of elevation/azimuth with respect to a given earth point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BCDA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circular orbiting around the earth</w:t>
            </w:r>
          </w:p>
        </w:tc>
      </w:tr>
      <w:tr w:rsidR="006E4BDA" w14:paraId="55E4062E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9750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Altitude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A38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35,786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56C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600 km</w:t>
            </w:r>
          </w:p>
          <w:p w14:paraId="59275B3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1,200 km</w:t>
            </w:r>
          </w:p>
        </w:tc>
      </w:tr>
      <w:tr w:rsidR="006E4BDA" w:rsidRPr="006E4BDA" w14:paraId="45915D1F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F67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Spectrum (service link)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1DD3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&lt;6 GHz (e.g. 2 GHz)</w:t>
            </w:r>
          </w:p>
          <w:p w14:paraId="38A8FA26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&gt;6 GHz (e.g. DL 20 GHz, UL 30 GHz)</w:t>
            </w:r>
          </w:p>
        </w:tc>
      </w:tr>
      <w:tr w:rsidR="006E4BDA" w:rsidRPr="006E4BDA" w14:paraId="396F0190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358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channel bandwidth (service link)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FF30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30 MHz for band &lt; 6 GHz</w:t>
            </w:r>
          </w:p>
          <w:p w14:paraId="1715C68E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400 MHz for band &gt; 6 GHz</w:t>
            </w:r>
          </w:p>
        </w:tc>
      </w:tr>
      <w:tr w:rsidR="006E4BDA" w:rsidRPr="006E4BDA" w14:paraId="71D63D50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D23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9CAE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Scenario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A :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 Transparent (including radio frequency function only)</w:t>
            </w:r>
          </w:p>
          <w:p w14:paraId="2A16BB38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B: regenerative (including all or part of RAN functions)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1E6C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Scenario C: </w:t>
            </w:r>
            <w:r>
              <w:rPr>
                <w:rFonts w:ascii="Arial" w:eastAsia="SimSun" w:hAnsi="Arial" w:cs="Arial"/>
                <w:sz w:val="18"/>
                <w:szCs w:val="18"/>
              </w:rPr>
              <w:t>Transparent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(including radio frequency function only)</w:t>
            </w:r>
          </w:p>
          <w:p w14:paraId="6FB0EF38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D: Regenerative (including all or part of RAN functions)</w:t>
            </w:r>
          </w:p>
        </w:tc>
      </w:tr>
      <w:tr w:rsidR="006E4BDA" w:rsidRPr="006E4BDA" w14:paraId="28AEA19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1D93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Inter-Satellite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5F7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B0D2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C: No</w:t>
            </w:r>
          </w:p>
          <w:p w14:paraId="04B82D4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D: Yes</w:t>
            </w:r>
          </w:p>
        </w:tc>
      </w:tr>
      <w:tr w:rsidR="006E4BDA" w:rsidRPr="006E4BDA" w14:paraId="6FF0007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D82E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Earth-fixed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35E0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B20F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C: No (the beams move with the satellite)</w:t>
            </w:r>
          </w:p>
          <w:p w14:paraId="40E2C19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D, option 1: Yes (steering beams), see note 1</w:t>
            </w:r>
          </w:p>
          <w:p w14:paraId="5628A287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D, option 2: No (the beams move with the satellite)</w:t>
            </w:r>
          </w:p>
        </w:tc>
      </w:tr>
      <w:tr w:rsidR="006E4BDA" w14:paraId="0D7F60D0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A76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beam foot print diameter at nadir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2AB3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500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F588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200 km</w:t>
            </w:r>
          </w:p>
        </w:tc>
      </w:tr>
      <w:tr w:rsidR="006E4BDA" w14:paraId="0BB8B368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F8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 Elevation angle for both sat-gateway and user equipment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17DA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EDAC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10°</w:t>
            </w:r>
          </w:p>
        </w:tc>
      </w:tr>
      <w:tr w:rsidR="006E4BDA" w14:paraId="1153D53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610A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distance between satellite and user equipment at min elevation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A8AE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40,586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F23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1,932 km (600 km altitude)</w:t>
            </w:r>
          </w:p>
          <w:p w14:paraId="14F18A50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3,131 km (1,200 km altitude)</w:t>
            </w:r>
          </w:p>
        </w:tc>
      </w:tr>
      <w:tr w:rsidR="006E4BDA" w:rsidRPr="006E4BDA" w14:paraId="4BA70386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50A6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Round Trip Delay (propagation delay only)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DD7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A: 562 ms (service and feeder links)</w:t>
            </w:r>
          </w:p>
          <w:p w14:paraId="3EFDEDDA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B: 281ms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87B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C: 25.76 ms (transparent payload: service and feeder links)</w:t>
            </w:r>
          </w:p>
          <w:p w14:paraId="7954F77A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Scenario D: 12.88 ms (regenerative payload: service link only)</w:t>
            </w:r>
          </w:p>
        </w:tc>
      </w:tr>
      <w:tr w:rsidR="006E4BDA" w14:paraId="7F45776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FD6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delay variation within a beam (earth fixed user equipment)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1EF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16ms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671B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4.44ms (600km)</w:t>
            </w:r>
          </w:p>
          <w:p w14:paraId="5D25694C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6.44ms (1200km)</w:t>
            </w:r>
          </w:p>
        </w:tc>
      </w:tr>
      <w:tr w:rsidR="006E4BDA" w14:paraId="5EEE56AF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833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differential delay within a beam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91B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1.6 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785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0.65 ms </w:t>
            </w:r>
            <w:r w:rsidRPr="0012104B">
              <w:rPr>
                <w:rFonts w:ascii="Arial" w:eastAsia="Calibri" w:hAnsi="Arial" w:cs="Arial"/>
                <w:sz w:val="18"/>
                <w:szCs w:val="18"/>
              </w:rPr>
              <w:t>(*)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6E4BDA" w14:paraId="46816E65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5BA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Doppler shift (earth fixed user equipment)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EF76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0.93 ppm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6633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24 ppm </w:t>
            </w:r>
            <w:r w:rsidRPr="0012104B">
              <w:rPr>
                <w:rFonts w:ascii="Arial" w:eastAsia="Calibri" w:hAnsi="Arial" w:cs="Arial"/>
                <w:sz w:val="18"/>
                <w:szCs w:val="18"/>
              </w:rPr>
              <w:t>(*)</w:t>
            </w:r>
          </w:p>
        </w:tc>
      </w:tr>
      <w:tr w:rsidR="006E4BDA" w14:paraId="3D723247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F78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Max Doppler shift variation (earth fixed user equipment)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CB6B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0.000 045 ppm/s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90A0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0.27ppm/s </w:t>
            </w:r>
            <w:r w:rsidRPr="0012104B">
              <w:rPr>
                <w:rFonts w:ascii="Arial" w:eastAsia="Calibri" w:hAnsi="Arial" w:cs="Arial"/>
                <w:sz w:val="18"/>
                <w:szCs w:val="18"/>
              </w:rPr>
              <w:t>(*)</w:t>
            </w:r>
          </w:p>
        </w:tc>
      </w:tr>
      <w:tr w:rsidR="006E4BDA" w:rsidRPr="006E4BDA" w14:paraId="3F9E8FCE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93B3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User equipment motion on the earth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25E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1000 km/h (e.g. aircraft)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BE27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500 km/h (e.g.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high speed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 train)</w:t>
            </w:r>
          </w:p>
          <w:p w14:paraId="4B5CBBD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Possibly 1000 km/h (e.g. aircraft)</w:t>
            </w:r>
          </w:p>
        </w:tc>
      </w:tr>
      <w:tr w:rsidR="006E4BDA" w:rsidRPr="006E4BDA" w14:paraId="390F1B16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98DE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User equipment antenna types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DFB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Omnidirectional antenna (linear polarisation), assuming 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dBi</w:t>
            </w:r>
            <w:proofErr w:type="spellEnd"/>
          </w:p>
          <w:p w14:paraId="785A3E2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Directive antenna (up to 60 cm equivalent aperture diameter in circular polarisation)</w:t>
            </w:r>
          </w:p>
        </w:tc>
      </w:tr>
      <w:tr w:rsidR="006E4BDA" w:rsidRPr="006E4BDA" w14:paraId="0B516A2E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E865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User equipment Tx power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368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Omnidirectional antenna: UE power class 3 with up to 200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mW</w:t>
            </w:r>
            <w:proofErr w:type="spellEnd"/>
          </w:p>
          <w:p w14:paraId="0E165F44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Directive antenna: up to 4 W</w:t>
            </w:r>
          </w:p>
        </w:tc>
      </w:tr>
      <w:tr w:rsidR="006E4BDA" w:rsidRPr="006E4BDA" w14:paraId="742EB402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1C36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User equipment Noise figure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19D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Omnidirectional antenna: 7 dB</w:t>
            </w:r>
          </w:p>
          <w:p w14:paraId="5E36B79C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Directive antenna: 1.2 dB</w:t>
            </w:r>
          </w:p>
        </w:tc>
      </w:tr>
      <w:tr w:rsidR="006E4BDA" w14:paraId="15ED9AD9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B6D9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Service link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8210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3GPP defined New Radio</w:t>
            </w:r>
          </w:p>
        </w:tc>
      </w:tr>
      <w:tr w:rsidR="006E4BDA" w:rsidRPr="006E4BDA" w14:paraId="3BDB8181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340C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998F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3GPP or non-3GPP defined Radio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DDB1" w14:textId="77777777" w:rsidR="006E4BDA" w:rsidRDefault="006E4BDA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3GPP or non-3GPP defined Radio interface</w:t>
            </w:r>
          </w:p>
        </w:tc>
      </w:tr>
    </w:tbl>
    <w:p w14:paraId="03767196" w14:textId="77777777" w:rsidR="006E4BDA" w:rsidRPr="006E4BDA" w:rsidRDefault="006E4BDA" w:rsidP="00F92252">
      <w:pPr>
        <w:rPr>
          <w:rFonts w:ascii="Arial" w:hAnsi="Arial" w:cs="Arial"/>
          <w:lang w:val="en-US"/>
        </w:rPr>
      </w:pPr>
    </w:p>
    <w:p w14:paraId="31489EDF" w14:textId="02E23C48" w:rsidR="001B6B03" w:rsidRDefault="001B6B03" w:rsidP="00BB1E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Table 2 also lists several UE antenna types, which would further increase the </w:t>
      </w:r>
      <w:r w:rsidR="00BB1E9D">
        <w:rPr>
          <w:rFonts w:ascii="Arial" w:hAnsi="Arial" w:cs="Arial"/>
        </w:rPr>
        <w:t>number</w:t>
      </w:r>
      <w:r>
        <w:rPr>
          <w:rFonts w:ascii="Arial" w:hAnsi="Arial" w:cs="Arial"/>
        </w:rPr>
        <w:t xml:space="preserve"> of scenarios to simulate. Apart from these assumptions, there is also a need to </w:t>
      </w:r>
      <w:r w:rsidR="008F0D0B">
        <w:rPr>
          <w:rFonts w:ascii="Arial" w:hAnsi="Arial" w:cs="Arial"/>
        </w:rPr>
        <w:t>study whether</w:t>
      </w:r>
      <w:r>
        <w:rPr>
          <w:rFonts w:ascii="Arial" w:hAnsi="Arial" w:cs="Arial"/>
        </w:rPr>
        <w:t xml:space="preserve"> the deployments are reasonable. </w:t>
      </w:r>
      <w:r w:rsidR="008F0D0B">
        <w:rPr>
          <w:rFonts w:ascii="Arial" w:hAnsi="Arial" w:cs="Arial"/>
        </w:rPr>
        <w:t>For instance, when deciding on scenarios</w:t>
      </w:r>
      <w:r w:rsidR="0012104B">
        <w:rPr>
          <w:rFonts w:ascii="Arial" w:hAnsi="Arial" w:cs="Arial"/>
        </w:rPr>
        <w:t>,</w:t>
      </w:r>
      <w:r w:rsidR="008F0D0B">
        <w:rPr>
          <w:rFonts w:ascii="Arial" w:hAnsi="Arial" w:cs="Arial"/>
        </w:rPr>
        <w:t xml:space="preserve"> the relation between spotbeam, NR SSB beam and cells should be studied, as discussed in [</w:t>
      </w:r>
      <w:r w:rsidR="009006EC">
        <w:rPr>
          <w:rFonts w:ascii="Arial" w:hAnsi="Arial" w:cs="Arial"/>
        </w:rPr>
        <w:t>4</w:t>
      </w:r>
      <w:r w:rsidR="008F0D0B">
        <w:rPr>
          <w:rFonts w:ascii="Arial" w:hAnsi="Arial" w:cs="Arial"/>
        </w:rPr>
        <w:t xml:space="preserve">]. </w:t>
      </w:r>
    </w:p>
    <w:p w14:paraId="1E35F944" w14:textId="6C3DE431" w:rsidR="001A34F6" w:rsidRPr="001A34F6" w:rsidRDefault="001A34F6" w:rsidP="00F92252">
      <w:pPr>
        <w:pStyle w:val="Observation"/>
      </w:pPr>
      <w:bookmarkStart w:id="2" w:name="_Toc525905867"/>
      <w:r>
        <w:t>There are many scenarios and configurations to simulate.</w:t>
      </w:r>
      <w:bookmarkEnd w:id="2"/>
      <w:r>
        <w:t xml:space="preserve"> </w:t>
      </w:r>
    </w:p>
    <w:p w14:paraId="0DE97D37" w14:textId="51754E9E" w:rsidR="00BD5EC8" w:rsidRDefault="00BD5EC8" w:rsidP="00F92252">
      <w:pPr>
        <w:rPr>
          <w:rFonts w:ascii="Arial" w:hAnsi="Arial" w:cs="Arial"/>
        </w:rPr>
      </w:pPr>
    </w:p>
    <w:p w14:paraId="4354296C" w14:textId="0AB148E6" w:rsidR="00822938" w:rsidRDefault="00822938" w:rsidP="00F922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issue that should be studied is what frequency </w:t>
      </w:r>
      <w:r w:rsidR="0012104B">
        <w:rPr>
          <w:rFonts w:ascii="Arial" w:hAnsi="Arial" w:cs="Arial"/>
        </w:rPr>
        <w:t xml:space="preserve">reuse </w:t>
      </w:r>
      <w:r>
        <w:rPr>
          <w:rFonts w:ascii="Arial" w:hAnsi="Arial" w:cs="Arial"/>
        </w:rPr>
        <w:t xml:space="preserve">pattern should be used, which will likely have a large impact on performance. </w:t>
      </w:r>
    </w:p>
    <w:p w14:paraId="0DF8E12B" w14:textId="1E189258" w:rsidR="00822938" w:rsidRDefault="00822938" w:rsidP="00822938">
      <w:pPr>
        <w:pStyle w:val="Proposal"/>
      </w:pPr>
      <w:r>
        <w:t>Satellite frequency reuse patterns should be discussed and studied</w:t>
      </w:r>
      <w:r w:rsidRPr="00A04F49">
        <w:t>.</w:t>
      </w:r>
      <w:r w:rsidRPr="001A34F6">
        <w:rPr>
          <w:rFonts w:cs="Arial"/>
        </w:rPr>
        <w:t xml:space="preserve">  </w:t>
      </w:r>
      <w:r>
        <w:t xml:space="preserve"> </w:t>
      </w:r>
    </w:p>
    <w:p w14:paraId="7B7065A0" w14:textId="77777777" w:rsidR="0012104B" w:rsidRDefault="0012104B" w:rsidP="00F92252">
      <w:pPr>
        <w:rPr>
          <w:rFonts w:ascii="Arial" w:hAnsi="Arial" w:cs="Arial"/>
        </w:rPr>
      </w:pPr>
    </w:p>
    <w:p w14:paraId="1C55E09D" w14:textId="565DCDC5" w:rsidR="00BD5EC8" w:rsidRDefault="00BD5EC8" w:rsidP="00F92252">
      <w:pPr>
        <w:rPr>
          <w:rFonts w:ascii="Arial" w:hAnsi="Arial" w:cs="Arial"/>
        </w:rPr>
      </w:pPr>
      <w:r>
        <w:rPr>
          <w:rFonts w:ascii="Arial" w:hAnsi="Arial" w:cs="Arial"/>
        </w:rPr>
        <w:t>Based on th</w:t>
      </w:r>
      <w:r w:rsidR="0019320D">
        <w:rPr>
          <w:rFonts w:ascii="Arial" w:hAnsi="Arial" w:cs="Arial"/>
        </w:rPr>
        <w:t xml:space="preserve">e above discussion regarding </w:t>
      </w:r>
      <w:r w:rsidR="0012104B">
        <w:rPr>
          <w:rFonts w:ascii="Arial" w:hAnsi="Arial" w:cs="Arial"/>
        </w:rPr>
        <w:t xml:space="preserve">potential </w:t>
      </w:r>
      <w:r w:rsidR="0019320D">
        <w:rPr>
          <w:rFonts w:ascii="Arial" w:hAnsi="Arial" w:cs="Arial"/>
        </w:rPr>
        <w:t>scenarios</w:t>
      </w:r>
      <w:r>
        <w:rPr>
          <w:rFonts w:ascii="Arial" w:hAnsi="Arial" w:cs="Arial"/>
        </w:rPr>
        <w:t>, we see that there could be a bene</w:t>
      </w:r>
      <w:r w:rsidR="001A34F6">
        <w:rPr>
          <w:rFonts w:ascii="Arial" w:hAnsi="Arial" w:cs="Arial"/>
        </w:rPr>
        <w:t xml:space="preserve">fit in studying ways to simplify </w:t>
      </w:r>
      <w:r>
        <w:rPr>
          <w:rFonts w:ascii="Arial" w:hAnsi="Arial" w:cs="Arial"/>
        </w:rPr>
        <w:t>the s</w:t>
      </w:r>
      <w:r w:rsidR="001A34F6">
        <w:rPr>
          <w:rFonts w:ascii="Arial" w:hAnsi="Arial" w:cs="Arial"/>
        </w:rPr>
        <w:t>cenarios</w:t>
      </w:r>
      <w:r>
        <w:rPr>
          <w:rFonts w:ascii="Arial" w:hAnsi="Arial" w:cs="Arial"/>
        </w:rPr>
        <w:t xml:space="preserve"> and</w:t>
      </w:r>
      <w:r w:rsidR="001A34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assumptions.</w:t>
      </w:r>
    </w:p>
    <w:p w14:paraId="754D03A9" w14:textId="2CF884F5" w:rsidR="003742AC" w:rsidRDefault="001A34F6" w:rsidP="0058146F">
      <w:pPr>
        <w:pStyle w:val="Proposal"/>
      </w:pPr>
      <w:bookmarkStart w:id="3" w:name="_Toc525905869"/>
      <w:r>
        <w:t>Study simplification of simulation scenarios</w:t>
      </w:r>
      <w:r w:rsidRPr="00A04F49">
        <w:t>.</w:t>
      </w:r>
      <w:bookmarkEnd w:id="3"/>
      <w:r w:rsidR="004162EE" w:rsidRPr="001A34F6">
        <w:rPr>
          <w:rFonts w:cs="Arial"/>
        </w:rPr>
        <w:t xml:space="preserve">  </w:t>
      </w:r>
      <w:bookmarkStart w:id="4" w:name="_Toc347823812"/>
      <w:bookmarkStart w:id="5" w:name="_Toc347823993"/>
      <w:bookmarkStart w:id="6" w:name="_Toc347824244"/>
      <w:r w:rsidR="003D3C45">
        <w:t xml:space="preserve"> </w:t>
      </w:r>
      <w:bookmarkEnd w:id="4"/>
      <w:bookmarkEnd w:id="5"/>
      <w:bookmarkEnd w:id="6"/>
    </w:p>
    <w:p w14:paraId="5E2B511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ED22908" w14:textId="46F5DB51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="0012104B">
        <w:t>,</w:t>
      </w:r>
      <w:r w:rsidRPr="00CE0424">
        <w:t xml:space="preserve"> we </w:t>
      </w:r>
      <w:r>
        <w:t>made the following observation</w:t>
      </w:r>
      <w:r w:rsidRPr="00CE0424">
        <w:t>:</w:t>
      </w:r>
      <w:r w:rsidR="00C93814">
        <w:rPr>
          <w:b/>
          <w:bCs/>
        </w:rPr>
        <w:t xml:space="preserve"> </w:t>
      </w:r>
    </w:p>
    <w:p w14:paraId="0760E220" w14:textId="77777777" w:rsidR="0012104B" w:rsidRPr="001A34F6" w:rsidRDefault="0012104B" w:rsidP="0012104B">
      <w:pPr>
        <w:pStyle w:val="Observation"/>
        <w:numPr>
          <w:ilvl w:val="0"/>
          <w:numId w:val="24"/>
        </w:numPr>
      </w:pPr>
      <w:r>
        <w:t xml:space="preserve">There are many scenarios and configurations to simulate. </w:t>
      </w:r>
    </w:p>
    <w:p w14:paraId="5BA5D89B" w14:textId="77777777" w:rsidR="0012104B" w:rsidRDefault="0012104B" w:rsidP="006E1C82">
      <w:pPr>
        <w:pStyle w:val="BodyText"/>
      </w:pPr>
    </w:p>
    <w:p w14:paraId="514DFC92" w14:textId="60EB7B08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12104B">
        <w:t>,</w:t>
      </w:r>
      <w:r w:rsidRPr="00CE0424">
        <w:t xml:space="preserve"> we propose the following:</w:t>
      </w:r>
    </w:p>
    <w:p w14:paraId="5BF302F0" w14:textId="23DFBF10" w:rsidR="00A056C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905869" w:history="1">
        <w:r w:rsidR="00A056C0" w:rsidRPr="001E0EC3">
          <w:rPr>
            <w:rStyle w:val="Hyperlink"/>
            <w:noProof/>
          </w:rPr>
          <w:t>Proposal 1</w:t>
        </w:r>
        <w:r w:rsidR="00A056C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12104B">
          <w:t>Satellite frequency reuse patterns should be discussed and studied</w:t>
        </w:r>
        <w:r w:rsidR="00A056C0" w:rsidRPr="001E0EC3">
          <w:rPr>
            <w:rStyle w:val="Hyperlink"/>
            <w:noProof/>
          </w:rPr>
          <w:t>.</w:t>
        </w:r>
      </w:hyperlink>
    </w:p>
    <w:p w14:paraId="14C4863C" w14:textId="37BFC00B" w:rsidR="00A056C0" w:rsidRDefault="00BD6B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25905870" w:history="1">
        <w:r w:rsidR="00A056C0" w:rsidRPr="001E0EC3">
          <w:rPr>
            <w:rStyle w:val="Hyperlink"/>
            <w:noProof/>
          </w:rPr>
          <w:t>Proposal 2</w:t>
        </w:r>
        <w:r w:rsidR="00A056C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12104B">
          <w:t>Study simplification of simulation scenarios</w:t>
        </w:r>
        <w:r w:rsidR="00A056C0" w:rsidRPr="001E0EC3">
          <w:rPr>
            <w:rStyle w:val="Hyperlink"/>
            <w:noProof/>
          </w:rPr>
          <w:t>.</w:t>
        </w:r>
      </w:hyperlink>
    </w:p>
    <w:p w14:paraId="4D60436A" w14:textId="6D6D420B" w:rsidR="00C01F33" w:rsidRPr="00A056C0" w:rsidRDefault="006E1C82" w:rsidP="00A056C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107106E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070DF40D" w14:textId="3B16484E" w:rsidR="005F3025" w:rsidRPr="00CE0424" w:rsidRDefault="005A7824" w:rsidP="00311702">
      <w:pPr>
        <w:pStyle w:val="Reference"/>
      </w:pPr>
      <w:bookmarkStart w:id="8" w:name="_Ref174151459"/>
      <w:bookmarkStart w:id="9" w:name="_Ref189809556"/>
      <w:r>
        <w:t>RP-181370</w:t>
      </w:r>
      <w:r w:rsidR="005F3025" w:rsidRPr="00CE0424">
        <w:t xml:space="preserve">, </w:t>
      </w:r>
      <w:r>
        <w:t>Study on solutions evaluation for NR to support Non-Terrestrial Network</w:t>
      </w:r>
      <w:r w:rsidR="005F3025" w:rsidRPr="00CE0424">
        <w:t xml:space="preserve">, </w:t>
      </w:r>
      <w:r>
        <w:t>Thales</w:t>
      </w:r>
      <w:r w:rsidR="005F3025" w:rsidRPr="00CE0424">
        <w:t xml:space="preserve">, </w:t>
      </w:r>
      <w:r>
        <w:t>RAN#80</w:t>
      </w:r>
      <w:r w:rsidR="005F3025" w:rsidRPr="00CE0424">
        <w:t xml:space="preserve">, </w:t>
      </w:r>
      <w:r>
        <w:t>La Jolla, June 2018</w:t>
      </w:r>
    </w:p>
    <w:p w14:paraId="1A3FF03F" w14:textId="60E0B29F" w:rsidR="00C14985" w:rsidRDefault="00C14985" w:rsidP="00C14985">
      <w:pPr>
        <w:pStyle w:val="Reference"/>
      </w:pPr>
      <w:r w:rsidRPr="000A3BCC">
        <w:t>3GPP T</w:t>
      </w:r>
      <w:r>
        <w:t>R</w:t>
      </w:r>
      <w:r w:rsidRPr="000A3BCC">
        <w:t xml:space="preserve"> 38.</w:t>
      </w:r>
      <w:r>
        <w:t xml:space="preserve">811, </w:t>
      </w:r>
      <w:r w:rsidRPr="000F36A4">
        <w:t>Study on New Radio (NR) to support non-terrestrial networks</w:t>
      </w:r>
      <w:r>
        <w:t>, V15.0.0.</w:t>
      </w:r>
    </w:p>
    <w:p w14:paraId="2731793F" w14:textId="01A0C1E0" w:rsidR="005A7824" w:rsidRDefault="005A7824" w:rsidP="00C14985">
      <w:pPr>
        <w:pStyle w:val="Reference"/>
      </w:pPr>
      <w:r>
        <w:t>3GPP TR 38.821, Solutions for NR to support non-terrestrial networks</w:t>
      </w:r>
    </w:p>
    <w:p w14:paraId="0F3A5351" w14:textId="54E05261" w:rsidR="001A34F6" w:rsidRPr="00CE0424" w:rsidRDefault="001A34F6" w:rsidP="00C14985">
      <w:pPr>
        <w:pStyle w:val="Reference"/>
      </w:pPr>
      <w:r>
        <w:t>R2-1814931, Spotbeam versus cell in NTN NR, Ericsson, RAN2#103bis, Chengdu, China</w:t>
      </w:r>
    </w:p>
    <w:bookmarkEnd w:id="8"/>
    <w:bookmarkEnd w:id="9"/>
    <w:p w14:paraId="0028F7F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20FCC" w14:textId="77777777" w:rsidR="00BD6B7C" w:rsidRDefault="00BD6B7C">
      <w:r>
        <w:separator/>
      </w:r>
    </w:p>
  </w:endnote>
  <w:endnote w:type="continuationSeparator" w:id="0">
    <w:p w14:paraId="281D2F8C" w14:textId="77777777" w:rsidR="00BD6B7C" w:rsidRDefault="00BD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3AE79" w14:textId="77777777" w:rsidR="00BD6B7C" w:rsidRDefault="00BD6B7C">
      <w:r>
        <w:separator/>
      </w:r>
    </w:p>
  </w:footnote>
  <w:footnote w:type="continuationSeparator" w:id="0">
    <w:p w14:paraId="396F8B05" w14:textId="77777777" w:rsidR="00BD6B7C" w:rsidRDefault="00BD6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6"/>
  </w:num>
  <w:num w:numId="24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06B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04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10"/>
    <w:rsid w:val="001659C1"/>
    <w:rsid w:val="00173A8E"/>
    <w:rsid w:val="0017502C"/>
    <w:rsid w:val="0018143F"/>
    <w:rsid w:val="00181FF8"/>
    <w:rsid w:val="00190AC1"/>
    <w:rsid w:val="0019320D"/>
    <w:rsid w:val="0019341A"/>
    <w:rsid w:val="00197DF9"/>
    <w:rsid w:val="001A1987"/>
    <w:rsid w:val="001A2564"/>
    <w:rsid w:val="001A34F6"/>
    <w:rsid w:val="001A6173"/>
    <w:rsid w:val="001A6CBA"/>
    <w:rsid w:val="001B0D97"/>
    <w:rsid w:val="001B5A5D"/>
    <w:rsid w:val="001B6B03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2EE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F7B"/>
    <w:rsid w:val="00554E19"/>
    <w:rsid w:val="00560821"/>
    <w:rsid w:val="0056121F"/>
    <w:rsid w:val="00572505"/>
    <w:rsid w:val="0058146F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824"/>
    <w:rsid w:val="005A7C96"/>
    <w:rsid w:val="005B1409"/>
    <w:rsid w:val="005B35D7"/>
    <w:rsid w:val="005B392A"/>
    <w:rsid w:val="005B3AA3"/>
    <w:rsid w:val="005B6F83"/>
    <w:rsid w:val="005C74FB"/>
    <w:rsid w:val="005D1602"/>
    <w:rsid w:val="005E160E"/>
    <w:rsid w:val="005E385F"/>
    <w:rsid w:val="005E5B81"/>
    <w:rsid w:val="005F2CB1"/>
    <w:rsid w:val="005F3025"/>
    <w:rsid w:val="005F59A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BDA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938"/>
    <w:rsid w:val="008235DB"/>
    <w:rsid w:val="00824AB4"/>
    <w:rsid w:val="00825C42"/>
    <w:rsid w:val="00825D25"/>
    <w:rsid w:val="00827D6F"/>
    <w:rsid w:val="00831583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DC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D0B"/>
    <w:rsid w:val="008F1C4E"/>
    <w:rsid w:val="008F1EAB"/>
    <w:rsid w:val="008F33DC"/>
    <w:rsid w:val="008F477F"/>
    <w:rsid w:val="009006E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7D1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6C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368"/>
    <w:rsid w:val="00A77EC4"/>
    <w:rsid w:val="00A8144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3A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90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E9D"/>
    <w:rsid w:val="00BB2A25"/>
    <w:rsid w:val="00BB51E9"/>
    <w:rsid w:val="00BC0FDC"/>
    <w:rsid w:val="00BC3053"/>
    <w:rsid w:val="00BC4D2E"/>
    <w:rsid w:val="00BD48AC"/>
    <w:rsid w:val="00BD5EC8"/>
    <w:rsid w:val="00BD5F1A"/>
    <w:rsid w:val="00BD6B7C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0DC"/>
    <w:rsid w:val="00C14985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835"/>
    <w:rsid w:val="00C93814"/>
    <w:rsid w:val="00C93C4B"/>
    <w:rsid w:val="00C944AB"/>
    <w:rsid w:val="00C95B40"/>
    <w:rsid w:val="00CA146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5C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252"/>
    <w:rsid w:val="00F92782"/>
    <w:rsid w:val="00F93AA9"/>
    <w:rsid w:val="00F96985"/>
    <w:rsid w:val="00F97838"/>
    <w:rsid w:val="00FA2BB3"/>
    <w:rsid w:val="00FB150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4CA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8B3E3-3B73-474C-9310-5E70236FE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2018-09-29T04:43:00Z</dcterms:created>
  <dcterms:modified xsi:type="dcterms:W3CDTF">2018-09-29T04:43:00Z</dcterms:modified>
  <cp:category/>
</cp:coreProperties>
</file>